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盈江县民族完全中学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盈江县民族完全中学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盈江县民族完全中学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盈江县民族完全</w:t>
      </w:r>
      <w:r>
        <w:rPr>
          <w:rFonts w:hint="eastAsia" w:ascii="黑体" w:hAnsi="黑体" w:eastAsia="黑体"/>
          <w:sz w:val="36"/>
          <w:szCs w:val="36"/>
          <w:lang w:eastAsia="zh-CN"/>
        </w:rPr>
        <w:t>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盈江县民族完全中学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31</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盈江县民族完全中学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特</w:t>
      </w:r>
      <w:r>
        <w:rPr>
          <w:rFonts w:hint="eastAsia" w:ascii="仿宋_GB2312" w:hAnsi="仿宋_GB2312" w:eastAsia="仿宋_GB2312" w:cs="仿宋_GB2312"/>
          <w:kern w:val="0"/>
          <w:sz w:val="30"/>
          <w:szCs w:val="30"/>
          <w:lang w:eastAsia="zh-CN"/>
        </w:rPr>
        <w:t>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kern w:val="0"/>
          <w:sz w:val="30"/>
          <w:szCs w:val="30"/>
        </w:rPr>
      </w:pPr>
      <w:r>
        <w:rPr>
          <w:rFonts w:hint="eastAsia" w:ascii="宋体" w:hAnsi="宋体" w:eastAsia="宋体" w:cs="宋体"/>
          <w:color w:val="auto"/>
          <w:kern w:val="0"/>
          <w:sz w:val="28"/>
          <w:szCs w:val="28"/>
          <w:lang w:val="en-US" w:eastAsia="zh-CN" w:bidi="ar-SA"/>
        </w:rPr>
        <w:t xml:space="preserve">  </w:t>
      </w:r>
      <w:r>
        <w:rPr>
          <w:rFonts w:hint="eastAsia" w:ascii="仿宋_GB2312" w:hAnsi="仿宋_GB2312" w:eastAsia="仿宋_GB2312" w:cs="仿宋_GB2312"/>
          <w:kern w:val="0"/>
          <w:sz w:val="30"/>
          <w:szCs w:val="30"/>
        </w:rPr>
        <w:t>盈江县民族完全中学设置</w:t>
      </w:r>
      <w:r>
        <w:rPr>
          <w:rFonts w:hint="eastAsia" w:ascii="仿宋_GB2312" w:hAnsi="宋体" w:eastAsia="仿宋_GB2312" w:cs="宋体"/>
          <w:sz w:val="30"/>
          <w:szCs w:val="30"/>
        </w:rPr>
        <w:t>6个科室：办公室、教务处、德育处、总务处、教科室、校团委。</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w:t>
      </w:r>
      <w:r>
        <w:rPr>
          <w:rFonts w:ascii="楷体_GB2312" w:eastAsia="楷体_GB2312"/>
          <w:color w:val="auto"/>
          <w:kern w:val="0"/>
          <w:sz w:val="30"/>
          <w:szCs w:val="30"/>
        </w:rPr>
        <w:t>重点工作概述</w:t>
      </w:r>
    </w:p>
    <w:p>
      <w:pPr>
        <w:pStyle w:val="15"/>
        <w:keepNext w:val="0"/>
        <w:keepLines w:val="0"/>
        <w:pageBreakBefore w:val="0"/>
        <w:widowControl/>
        <w:kinsoku/>
        <w:wordWrap/>
        <w:overflowPunct/>
        <w:topLinePunct w:val="0"/>
        <w:autoSpaceDE/>
        <w:autoSpaceDN/>
        <w:bidi w:val="0"/>
        <w:adjustRightInd/>
        <w:snapToGrid/>
        <w:spacing w:line="480" w:lineRule="auto"/>
        <w:ind w:firstLine="600" w:firstLineChars="200"/>
        <w:jc w:val="both"/>
        <w:textAlignment w:val="auto"/>
        <w:outlineLvl w:val="9"/>
        <w:rPr>
          <w:rFonts w:ascii="仿宋_GB2312" w:hAnsi="宋体" w:eastAsia="仿宋_GB2312" w:cs="宋体"/>
          <w:color w:val="000000"/>
          <w:sz w:val="30"/>
          <w:szCs w:val="30"/>
        </w:rPr>
      </w:pPr>
      <w:r>
        <w:rPr>
          <w:rFonts w:hint="eastAsia" w:ascii="仿宋_GB2312" w:hAnsi="宋体" w:eastAsia="仿宋_GB2312" w:cs="宋体"/>
          <w:color w:val="000000"/>
          <w:sz w:val="30"/>
          <w:szCs w:val="30"/>
        </w:rPr>
        <w:t>201</w:t>
      </w:r>
      <w:r>
        <w:rPr>
          <w:rFonts w:hint="eastAsia" w:ascii="仿宋_GB2312" w:hAnsi="宋体" w:eastAsia="仿宋_GB2312" w:cs="宋体"/>
          <w:color w:val="000000"/>
          <w:sz w:val="30"/>
          <w:szCs w:val="30"/>
          <w:lang w:val="en-US" w:eastAsia="zh-CN"/>
        </w:rPr>
        <w:t>9</w:t>
      </w:r>
      <w:r>
        <w:rPr>
          <w:rFonts w:hint="eastAsia" w:ascii="仿宋_GB2312" w:hAnsi="宋体" w:eastAsia="仿宋_GB2312" w:cs="宋体"/>
          <w:color w:val="000000"/>
          <w:sz w:val="30"/>
          <w:szCs w:val="30"/>
        </w:rPr>
        <w:t>年我校教育工作的总体要求是:以国家和省、州中长期教育改革和发展规划纲要为指导，抓好课堂教学改革，强化队伍建设，以提高初中、高中教学成绩为切入点，促进质量管理，推动初中、高中抓“控辍保学”工作，全面强化校园管理和内涵发展，以初中、高中质量的整体提升，拉动管理进步，推动初中、高中教育发展，全面带动我校教育水平再上新台阶。围绕总体要求，201</w:t>
      </w:r>
      <w:r>
        <w:rPr>
          <w:rFonts w:hint="eastAsia" w:ascii="仿宋_GB2312" w:hAnsi="宋体" w:eastAsia="仿宋_GB2312" w:cs="宋体"/>
          <w:color w:val="000000"/>
          <w:sz w:val="30"/>
          <w:szCs w:val="30"/>
          <w:lang w:val="en-US" w:eastAsia="zh-CN"/>
        </w:rPr>
        <w:t>9</w:t>
      </w:r>
      <w:r>
        <w:rPr>
          <w:rFonts w:hint="eastAsia" w:ascii="仿宋_GB2312" w:hAnsi="宋体" w:eastAsia="仿宋_GB2312" w:cs="宋体"/>
          <w:color w:val="000000"/>
          <w:sz w:val="30"/>
          <w:szCs w:val="30"/>
        </w:rPr>
        <w:t>年重点抓好以下几个方面：</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宋体" w:eastAsia="仿宋_GB2312" w:cs="宋体"/>
          <w:sz w:val="30"/>
          <w:szCs w:val="30"/>
          <w:lang w:val="en-US" w:eastAsia="zh-CN"/>
        </w:rPr>
        <w:t>1</w:t>
      </w:r>
      <w:r>
        <w:rPr>
          <w:rFonts w:hint="eastAsia" w:ascii="仿宋_GB2312" w:hAnsi="宋体" w:eastAsia="仿宋_GB2312" w:cs="宋体"/>
          <w:sz w:val="30"/>
          <w:szCs w:val="30"/>
        </w:rPr>
        <w:t>.加强教职工队伍的思想建设、作风建设、反腐倡廉建设。</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宋体" w:eastAsia="仿宋_GB2312" w:cs="宋体"/>
          <w:sz w:val="30"/>
          <w:szCs w:val="30"/>
          <w:lang w:val="en-US" w:eastAsia="zh-CN"/>
        </w:rPr>
        <w:t>2</w:t>
      </w:r>
      <w:r>
        <w:rPr>
          <w:rFonts w:hint="eastAsia" w:ascii="仿宋_GB2312" w:hAnsi="宋体" w:eastAsia="仿宋_GB2312" w:cs="宋体"/>
          <w:sz w:val="30"/>
          <w:szCs w:val="30"/>
        </w:rPr>
        <w:t>.加强改进管理制度，完善各领域的评价机制，全面推进“捆绑式”管理与评价机制。</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宋体" w:eastAsia="仿宋_GB2312" w:cs="宋体"/>
          <w:sz w:val="30"/>
          <w:szCs w:val="30"/>
          <w:lang w:val="en-US" w:eastAsia="zh-CN"/>
        </w:rPr>
        <w:t>3</w:t>
      </w:r>
      <w:r>
        <w:rPr>
          <w:rFonts w:hint="eastAsia" w:ascii="仿宋_GB2312" w:hAnsi="宋体" w:eastAsia="仿宋_GB2312" w:cs="宋体"/>
          <w:sz w:val="30"/>
          <w:szCs w:val="30"/>
        </w:rPr>
        <w:t>.加强教学常规管理，进一步完善教学质量评价制度。</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宋体" w:eastAsia="仿宋_GB2312" w:cs="宋体"/>
          <w:sz w:val="30"/>
          <w:szCs w:val="30"/>
          <w:lang w:val="en-US" w:eastAsia="zh-CN"/>
        </w:rPr>
        <w:t>4</w:t>
      </w:r>
      <w:r>
        <w:rPr>
          <w:rFonts w:hint="eastAsia" w:ascii="仿宋_GB2312" w:hAnsi="宋体" w:eastAsia="仿宋_GB2312" w:cs="宋体"/>
          <w:sz w:val="30"/>
          <w:szCs w:val="30"/>
        </w:rPr>
        <w:t>.加强师资培训，打造一批学科带头人和骨干教师。</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宋体" w:eastAsia="仿宋_GB2312" w:cs="宋体"/>
          <w:sz w:val="30"/>
          <w:szCs w:val="30"/>
        </w:rPr>
      </w:pPr>
      <w:r>
        <w:rPr>
          <w:rFonts w:hint="eastAsia" w:ascii="仿宋_GB2312" w:hAnsi="宋体" w:eastAsia="仿宋_GB2312" w:cs="宋体"/>
          <w:sz w:val="30"/>
          <w:szCs w:val="30"/>
          <w:lang w:val="en-US" w:eastAsia="zh-CN"/>
        </w:rPr>
        <w:t>5</w:t>
      </w:r>
      <w:r>
        <w:rPr>
          <w:rFonts w:hint="eastAsia" w:ascii="仿宋_GB2312" w:hAnsi="宋体" w:eastAsia="仿宋_GB2312" w:cs="宋体"/>
          <w:sz w:val="30"/>
          <w:szCs w:val="30"/>
        </w:rPr>
        <w:t>.加强学生思想道德建设和行为规范养成教育。</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宋体" w:eastAsia="仿宋_GB2312" w:cs="宋体"/>
          <w:sz w:val="30"/>
          <w:szCs w:val="30"/>
          <w:lang w:val="en-US" w:eastAsia="zh-CN"/>
        </w:rPr>
        <w:t>6</w:t>
      </w:r>
      <w:r>
        <w:rPr>
          <w:rFonts w:hint="eastAsia" w:ascii="仿宋_GB2312" w:hAnsi="宋体" w:eastAsia="仿宋_GB2312" w:cs="宋体"/>
          <w:sz w:val="30"/>
          <w:szCs w:val="30"/>
        </w:rPr>
        <w:t>.加强“控辍保学”工作，千方百计遏制巩固率下滑的势头。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宋体" w:eastAsia="仿宋_GB2312" w:cs="宋体"/>
          <w:sz w:val="30"/>
          <w:szCs w:val="30"/>
          <w:lang w:val="en-US" w:eastAsia="zh-CN"/>
        </w:rPr>
        <w:t>7</w:t>
      </w:r>
      <w:r>
        <w:rPr>
          <w:rFonts w:hint="eastAsia" w:ascii="仿宋_GB2312" w:hAnsi="宋体" w:eastAsia="仿宋_GB2312" w:cs="宋体"/>
          <w:sz w:val="30"/>
          <w:szCs w:val="30"/>
        </w:rPr>
        <w:t>.加强校园安全工作，把安全工作作为学校工作的底线。</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宋体" w:eastAsia="仿宋_GB2312" w:cs="宋体"/>
          <w:sz w:val="30"/>
          <w:szCs w:val="30"/>
        </w:rPr>
      </w:pPr>
      <w:r>
        <w:rPr>
          <w:rFonts w:hint="eastAsia" w:ascii="仿宋_GB2312" w:hAnsi="宋体" w:eastAsia="仿宋_GB2312" w:cs="宋体"/>
          <w:sz w:val="30"/>
          <w:szCs w:val="30"/>
          <w:lang w:val="en-US" w:eastAsia="zh-CN"/>
        </w:rPr>
        <w:t>8</w:t>
      </w:r>
      <w:r>
        <w:rPr>
          <w:rFonts w:hint="eastAsia" w:ascii="仿宋_GB2312" w:hAnsi="宋体" w:eastAsia="仿宋_GB2312" w:cs="宋体"/>
          <w:sz w:val="30"/>
          <w:szCs w:val="30"/>
        </w:rPr>
        <w:t>.加强校园安全建设，努力营造洁净舒适的工作、学习环境。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宋体" w:eastAsia="仿宋_GB2312" w:cs="宋体"/>
          <w:sz w:val="30"/>
          <w:szCs w:val="30"/>
        </w:rPr>
      </w:pPr>
      <w:r>
        <w:rPr>
          <w:rFonts w:hint="eastAsia" w:ascii="仿宋_GB2312" w:hAnsi="宋体" w:eastAsia="仿宋_GB2312" w:cs="宋体"/>
          <w:sz w:val="30"/>
          <w:szCs w:val="30"/>
          <w:lang w:val="en-US" w:eastAsia="zh-CN"/>
        </w:rPr>
        <w:t>9</w:t>
      </w:r>
      <w:r>
        <w:rPr>
          <w:rFonts w:hint="eastAsia" w:ascii="仿宋_GB2312" w:hAnsi="宋体" w:eastAsia="仿宋_GB2312" w:cs="宋体"/>
          <w:sz w:val="30"/>
          <w:szCs w:val="30"/>
        </w:rPr>
        <w:t>.加强课堂教学改革，努力提高教育教学效率。</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仿宋_GB2312" w:hAnsi="宋体" w:eastAsia="仿宋_GB2312" w:cs="宋体"/>
          <w:sz w:val="30"/>
          <w:szCs w:val="30"/>
        </w:rPr>
        <w:t>10.加强学校食堂管理工作，确保学生能享受到经济实惠的</w:t>
      </w: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个；事业单位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79</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79</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165</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165</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w:t>
      </w:r>
      <w:r>
        <w:rPr>
          <w:rFonts w:hint="eastAsia" w:ascii="仿宋_GB2312" w:hAnsi="仿宋_GB2312" w:eastAsia="仿宋_GB2312" w:cs="仿宋_GB2312"/>
          <w:color w:val="000000"/>
          <w:kern w:val="0"/>
          <w:sz w:val="30"/>
          <w:szCs w:val="30"/>
          <w:lang w:val="en-US" w:eastAsia="zh-CN"/>
        </w:rPr>
        <w:t>0</w:t>
      </w:r>
      <w:r>
        <w:rPr>
          <w:rFonts w:hint="eastAsia" w:ascii="仿宋_GB2312" w:hAnsi="仿宋_GB2312" w:eastAsia="仿宋_GB2312" w:cs="仿宋_GB2312"/>
          <w:color w:val="000000"/>
          <w:kern w:val="0"/>
          <w:sz w:val="30"/>
          <w:szCs w:val="30"/>
        </w:rPr>
        <w:t>人，其中： 离休</w:t>
      </w:r>
      <w:r>
        <w:rPr>
          <w:rFonts w:hint="eastAsia" w:ascii="仿宋_GB2312" w:hAnsi="仿宋_GB2312" w:eastAsia="仿宋_GB2312" w:cs="仿宋_GB2312"/>
          <w:color w:val="000000"/>
          <w:kern w:val="0"/>
          <w:sz w:val="30"/>
          <w:szCs w:val="30"/>
          <w:lang w:val="en-US" w:eastAsia="zh-CN"/>
        </w:rPr>
        <w:t>0</w:t>
      </w:r>
      <w:r>
        <w:rPr>
          <w:rFonts w:hint="eastAsia" w:ascii="仿宋_GB2312" w:hAnsi="仿宋_GB2312" w:eastAsia="仿宋_GB2312" w:cs="仿宋_GB2312"/>
          <w:color w:val="000000"/>
          <w:kern w:val="0"/>
          <w:sz w:val="30"/>
          <w:szCs w:val="30"/>
        </w:rPr>
        <w:t xml:space="preserve"> 人，退休</w:t>
      </w:r>
      <w:r>
        <w:rPr>
          <w:rFonts w:hint="eastAsia" w:ascii="仿宋_GB2312" w:hAnsi="仿宋_GB2312" w:eastAsia="仿宋_GB2312" w:cs="仿宋_GB2312"/>
          <w:color w:val="000000"/>
          <w:kern w:val="0"/>
          <w:sz w:val="30"/>
          <w:szCs w:val="30"/>
          <w:lang w:val="en-US" w:eastAsia="zh-CN"/>
        </w:rPr>
        <w:t xml:space="preserve"> 0</w:t>
      </w:r>
      <w:r>
        <w:rPr>
          <w:rFonts w:hint="eastAsia" w:ascii="仿宋_GB2312" w:hAnsi="仿宋_GB2312" w:eastAsia="仿宋_GB2312" w:cs="仿宋_GB2312"/>
          <w:color w:val="000000"/>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ascii="仿宋_GB2312" w:hAnsi="仿宋_GB2312" w:eastAsia="仿宋_GB2312" w:cs="仿宋_GB2312"/>
          <w:b w:val="0"/>
          <w:bCs w:val="0"/>
          <w:kern w:val="0"/>
          <w:sz w:val="30"/>
          <w:szCs w:val="30"/>
          <w:lang w:eastAsia="zh-CN"/>
        </w:rPr>
        <w:t>盈江县民族完全中学</w:t>
      </w:r>
      <w:r>
        <w:rPr>
          <w:rFonts w:hint="eastAsia" w:eastAsia="仿宋_GB2312"/>
          <w:kern w:val="0"/>
          <w:sz w:val="30"/>
          <w:szCs w:val="30"/>
          <w:lang w:eastAsia="zh-CN"/>
        </w:rPr>
        <w:t>校</w:t>
      </w:r>
      <w:r>
        <w:rPr>
          <w:rFonts w:eastAsia="仿宋_GB2312"/>
          <w:kern w:val="0"/>
          <w:sz w:val="30"/>
          <w:szCs w:val="30"/>
        </w:rPr>
        <w:t>财务总收入</w:t>
      </w:r>
      <w:r>
        <w:rPr>
          <w:rFonts w:hint="eastAsia" w:eastAsia="仿宋_GB2312"/>
          <w:kern w:val="0"/>
          <w:sz w:val="30"/>
          <w:szCs w:val="30"/>
          <w:lang w:val="en-US" w:eastAsia="zh-CN"/>
        </w:rPr>
        <w:t>1822.55</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1822.55</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1822.55</w:t>
      </w:r>
      <w:r>
        <w:rPr>
          <w:rFonts w:eastAsia="仿宋_GB2312"/>
          <w:kern w:val="0"/>
          <w:sz w:val="30"/>
          <w:szCs w:val="30"/>
        </w:rPr>
        <w:t>万元，其中:本年收入</w:t>
      </w:r>
      <w:r>
        <w:rPr>
          <w:rFonts w:hint="eastAsia" w:eastAsia="仿宋_GB2312"/>
          <w:kern w:val="0"/>
          <w:sz w:val="30"/>
          <w:szCs w:val="30"/>
          <w:lang w:val="en-US" w:eastAsia="zh-CN"/>
        </w:rPr>
        <w:t>1822.55</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1822.55</w:t>
      </w:r>
      <w:r>
        <w:rPr>
          <w:rFonts w:eastAsia="仿宋_GB2312"/>
          <w:kern w:val="0"/>
          <w:sz w:val="30"/>
          <w:szCs w:val="30"/>
        </w:rPr>
        <w:t>万元（本级财力</w:t>
      </w:r>
      <w:r>
        <w:rPr>
          <w:rFonts w:hint="eastAsia" w:eastAsia="仿宋_GB2312"/>
          <w:kern w:val="0"/>
          <w:sz w:val="30"/>
          <w:szCs w:val="30"/>
          <w:lang w:val="en-US" w:eastAsia="zh-CN"/>
        </w:rPr>
        <w:t>1822.55</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1822.55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1822.55</w:t>
      </w:r>
      <w:r>
        <w:rPr>
          <w:rFonts w:eastAsia="仿宋_GB2312"/>
          <w:kern w:val="0"/>
          <w:sz w:val="30"/>
          <w:szCs w:val="30"/>
        </w:rPr>
        <w:t>万元，其中，基本支出</w:t>
      </w:r>
      <w:r>
        <w:rPr>
          <w:rFonts w:hint="eastAsia" w:eastAsia="仿宋_GB2312"/>
          <w:kern w:val="0"/>
          <w:sz w:val="30"/>
          <w:szCs w:val="30"/>
          <w:lang w:val="en-US" w:eastAsia="zh-CN"/>
        </w:rPr>
        <w:t>1822.55</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教育支出-普通教育-中学教育96.92万元，主要用于工资福利支出和日常学校运行运转。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教育支出-普通教育-高中教育1353.74万元，主要用于工资福利支出和日常学校运行运转。</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事业单位基本养老保险缴费支出221.28万元，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150.61</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经济科目分组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w:t>
      </w:r>
      <w:r>
        <w:rPr>
          <w:rFonts w:hint="eastAsia" w:ascii="仿宋_GB2312" w:eastAsia="仿宋_GB2312"/>
          <w:kern w:val="0"/>
          <w:sz w:val="30"/>
          <w:szCs w:val="30"/>
          <w:lang w:val="en-US" w:eastAsia="zh-CN"/>
        </w:rPr>
        <w:t>2050203</w:t>
      </w:r>
      <w:r>
        <w:rPr>
          <w:rFonts w:hint="eastAsia" w:ascii="仿宋_GB2312" w:hAnsi="仿宋_GB2312" w:eastAsia="仿宋_GB2312" w:cs="仿宋_GB2312"/>
          <w:sz w:val="30"/>
          <w:szCs w:val="30"/>
          <w:lang w:val="en-US" w:eastAsia="zh-CN"/>
        </w:rPr>
        <w:t>”</w:t>
      </w:r>
      <w:r>
        <w:rPr>
          <w:rFonts w:hint="eastAsia" w:ascii="仿宋_GB2312" w:eastAsia="仿宋_GB2312"/>
          <w:kern w:val="0"/>
          <w:sz w:val="30"/>
          <w:szCs w:val="30"/>
          <w:lang w:val="en-US" w:eastAsia="zh-CN"/>
        </w:rPr>
        <w:t>初中教育96.92</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96.92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95.19</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kern w:val="0"/>
          <w:sz w:val="30"/>
          <w:szCs w:val="30"/>
        </w:rPr>
        <w:t>302商品和服务支出</w:t>
      </w:r>
      <w:r>
        <w:rPr>
          <w:rFonts w:hint="eastAsia" w:ascii="仿宋_GB2312" w:hAnsi="仿宋_GB2312" w:eastAsia="仿宋_GB2312" w:cs="仿宋_GB2312"/>
          <w:kern w:val="0"/>
          <w:sz w:val="30"/>
          <w:szCs w:val="30"/>
          <w:lang w:val="en-US" w:eastAsia="zh-CN"/>
        </w:rPr>
        <w:t>1.73</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w:t>
      </w:r>
      <w:r>
        <w:rPr>
          <w:rFonts w:hint="eastAsia" w:ascii="仿宋_GB2312" w:eastAsia="仿宋_GB2312"/>
          <w:kern w:val="0"/>
          <w:sz w:val="30"/>
          <w:szCs w:val="30"/>
          <w:lang w:val="en-US" w:eastAsia="zh-CN"/>
        </w:rPr>
        <w:t>2050204</w:t>
      </w:r>
      <w:r>
        <w:rPr>
          <w:rFonts w:hint="eastAsia" w:ascii="仿宋_GB2312" w:hAnsi="仿宋_GB2312" w:eastAsia="仿宋_GB2312" w:cs="仿宋_GB2312"/>
          <w:sz w:val="30"/>
          <w:szCs w:val="30"/>
          <w:lang w:val="en-US" w:eastAsia="zh-CN"/>
        </w:rPr>
        <w:t>”</w:t>
      </w:r>
      <w:r>
        <w:rPr>
          <w:rFonts w:hint="eastAsia" w:ascii="仿宋_GB2312" w:eastAsia="仿宋_GB2312"/>
          <w:kern w:val="0"/>
          <w:sz w:val="30"/>
          <w:szCs w:val="30"/>
          <w:lang w:val="en-US" w:eastAsia="zh-CN"/>
        </w:rPr>
        <w:t>高中教育1353.74</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1353.74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1197.84</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kern w:val="0"/>
          <w:sz w:val="30"/>
          <w:szCs w:val="30"/>
        </w:rPr>
        <w:t>302商品和服务支出</w:t>
      </w:r>
      <w:r>
        <w:rPr>
          <w:rFonts w:hint="eastAsia" w:ascii="仿宋_GB2312" w:hAnsi="仿宋_GB2312" w:eastAsia="仿宋_GB2312" w:cs="仿宋_GB2312"/>
          <w:kern w:val="0"/>
          <w:sz w:val="30"/>
          <w:szCs w:val="30"/>
          <w:lang w:val="en-US" w:eastAsia="zh-CN"/>
        </w:rPr>
        <w:t>87.9</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w:t>
      </w:r>
      <w:r>
        <w:rPr>
          <w:rFonts w:hint="eastAsia" w:ascii="仿宋_GB2312" w:eastAsia="仿宋_GB2312"/>
          <w:kern w:val="0"/>
          <w:sz w:val="30"/>
          <w:szCs w:val="30"/>
          <w:lang w:val="en-US" w:eastAsia="zh-CN"/>
        </w:rPr>
        <w:t>2080505</w:t>
      </w:r>
      <w:r>
        <w:rPr>
          <w:rFonts w:hint="eastAsia" w:ascii="仿宋_GB2312" w:hAnsi="仿宋_GB2312" w:eastAsia="仿宋_GB2312" w:cs="仿宋_GB2312"/>
          <w:sz w:val="30"/>
          <w:szCs w:val="30"/>
          <w:lang w:val="en-US" w:eastAsia="zh-CN"/>
        </w:rPr>
        <w:t>”</w:t>
      </w:r>
      <w:r>
        <w:rPr>
          <w:rFonts w:hint="eastAsia" w:ascii="仿宋_GB2312" w:eastAsia="仿宋_GB2312"/>
          <w:kern w:val="0"/>
          <w:sz w:val="30"/>
          <w:szCs w:val="30"/>
          <w:lang w:val="en-US" w:eastAsia="zh-CN"/>
        </w:rPr>
        <w:t>机关事业基本养老保险缴费支出221.28</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221.28</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w:t>
      </w:r>
      <w:r>
        <w:rPr>
          <w:rFonts w:hint="eastAsia" w:ascii="仿宋_GB2312" w:hAnsi="仿宋_GB2312" w:eastAsia="仿宋_GB2312" w:cs="仿宋_GB2312"/>
          <w:color w:val="333333"/>
          <w:sz w:val="30"/>
          <w:szCs w:val="30"/>
          <w:shd w:val="clear" w:color="040000" w:fill="FFFFFF"/>
          <w:lang w:val="en-US" w:eastAsia="zh-CN"/>
        </w:rPr>
        <w:t>301</w:t>
      </w:r>
      <w:r>
        <w:rPr>
          <w:rFonts w:hint="eastAsia" w:ascii="仿宋_GB2312" w:hAnsi="仿宋_GB2312" w:eastAsia="仿宋_GB2312" w:cs="仿宋_GB2312"/>
          <w:color w:val="333333"/>
          <w:sz w:val="30"/>
          <w:szCs w:val="30"/>
          <w:shd w:val="clear" w:color="040000" w:fill="FFFFFF"/>
        </w:rPr>
        <w:t>工资福利</w:t>
      </w:r>
      <w:r>
        <w:rPr>
          <w:rFonts w:hint="eastAsia" w:ascii="仿宋_GB2312" w:hAnsi="仿宋_GB2312" w:eastAsia="仿宋_GB2312" w:cs="仿宋_GB2312"/>
          <w:kern w:val="0"/>
          <w:sz w:val="30"/>
          <w:szCs w:val="30"/>
        </w:rPr>
        <w:t>中的</w:t>
      </w:r>
      <w:r>
        <w:rPr>
          <w:rFonts w:hint="eastAsia" w:ascii="仿宋_GB2312" w:eastAsia="仿宋_GB2312"/>
          <w:kern w:val="0"/>
          <w:sz w:val="30"/>
          <w:szCs w:val="30"/>
        </w:rPr>
        <w:t>单位基本养老保险缴费</w:t>
      </w:r>
      <w:r>
        <w:rPr>
          <w:rFonts w:hint="eastAsia" w:ascii="仿宋_GB2312" w:hAnsi="仿宋_GB2312" w:eastAsia="仿宋_GB2312" w:cs="仿宋_GB2312"/>
          <w:color w:val="333333"/>
          <w:sz w:val="30"/>
          <w:szCs w:val="30"/>
          <w:shd w:val="clear" w:color="040000" w:fill="FFFFFF"/>
        </w:rPr>
        <w:t>支出</w:t>
      </w:r>
      <w:r>
        <w:rPr>
          <w:rFonts w:hint="eastAsia" w:ascii="仿宋_GB2312" w:hAnsi="仿宋_GB2312" w:eastAsia="仿宋_GB2312" w:cs="仿宋_GB2312"/>
          <w:color w:val="333333"/>
          <w:sz w:val="30"/>
          <w:szCs w:val="30"/>
          <w:shd w:val="clear" w:color="040000" w:fill="FFFFFF"/>
          <w:lang w:val="en-US" w:eastAsia="zh-CN"/>
        </w:rPr>
        <w:t>221.28万元；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kern w:val="0"/>
          <w:sz w:val="30"/>
          <w:szCs w:val="30"/>
          <w:lang w:val="en-US" w:eastAsia="zh-CN"/>
        </w:rPr>
        <w:t>2210201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kern w:val="0"/>
          <w:sz w:val="30"/>
          <w:szCs w:val="30"/>
          <w:lang w:val="en-US" w:eastAsia="zh-CN"/>
        </w:rPr>
        <w:t>住房公积金支出150.61万元其中：基本支出150.61万元，</w:t>
      </w:r>
      <w:r>
        <w:rPr>
          <w:rFonts w:hint="eastAsia" w:ascii="仿宋_GB2312" w:hAnsi="仿宋_GB2312" w:eastAsia="仿宋_GB2312" w:cs="仿宋_GB2312"/>
          <w:kern w:val="0"/>
          <w:sz w:val="30"/>
          <w:szCs w:val="30"/>
        </w:rPr>
        <w:t>主要用于301工资福利支出中的住房公积金</w:t>
      </w:r>
      <w:r>
        <w:rPr>
          <w:rFonts w:hint="eastAsia" w:ascii="仿宋_GB2312" w:hAnsi="仿宋_GB2312" w:eastAsia="仿宋_GB2312" w:cs="仿宋_GB2312"/>
          <w:kern w:val="0"/>
          <w:sz w:val="30"/>
          <w:szCs w:val="30"/>
          <w:lang w:val="en-US" w:eastAsia="zh-CN"/>
        </w:rPr>
        <w:t>150.61</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hAnsi="仿宋_GB2312" w:eastAsia="仿宋_GB2312" w:cs="仿宋_GB2312"/>
          <w:kern w:val="0"/>
          <w:sz w:val="30"/>
          <w:szCs w:val="30"/>
        </w:rPr>
        <w:t>项目支出0万元</w:t>
      </w:r>
      <w:r>
        <w:rPr>
          <w:rFonts w:hint="eastAsia" w:ascii="仿宋_GB2312" w:hAnsi="仿宋_GB2312" w:eastAsia="仿宋_GB2312" w:cs="仿宋_GB2312"/>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民族完全中学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2.56</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2.56</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2.56</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2.56</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2.56</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2019年部门预算收入1822.55</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1422.09万元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400.46万元，增加28.16%。增加原因：调增人员工资。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w:t>
      </w:r>
      <w:r>
        <w:rPr>
          <w:rFonts w:hint="eastAsia" w:ascii="仿宋_GB2312" w:hAnsi="仿宋_GB2312" w:eastAsia="仿宋_GB2312" w:cs="仿宋_GB2312"/>
          <w:sz w:val="30"/>
          <w:szCs w:val="30"/>
        </w:rPr>
        <w:t>盈江县</w:t>
      </w:r>
      <w:r>
        <w:rPr>
          <w:rFonts w:hint="eastAsia" w:ascii="仿宋_GB2312" w:hAnsi="仿宋_GB2312" w:eastAsia="仿宋_GB2312" w:cs="仿宋_GB2312"/>
          <w:sz w:val="30"/>
          <w:szCs w:val="30"/>
          <w:lang w:eastAsia="zh-CN"/>
        </w:rPr>
        <w:t>民族完全中学</w:t>
      </w:r>
      <w:r>
        <w:rPr>
          <w:rFonts w:hint="eastAsia" w:ascii="仿宋_GB2312" w:eastAsia="仿宋_GB2312"/>
          <w:kern w:val="0"/>
          <w:sz w:val="30"/>
          <w:szCs w:val="30"/>
        </w:rPr>
        <w:t>基本支出</w:t>
      </w:r>
      <w:r>
        <w:rPr>
          <w:rFonts w:hint="eastAsia" w:ascii="仿宋_GB2312" w:hAnsi="仿宋_GB2312" w:eastAsia="仿宋_GB2312" w:cs="仿宋_GB2312"/>
          <w:kern w:val="0"/>
          <w:sz w:val="30"/>
          <w:szCs w:val="30"/>
          <w:lang w:val="en-US" w:eastAsia="zh-CN"/>
        </w:rPr>
        <w:t>1822.55</w:t>
      </w:r>
      <w:r>
        <w:rPr>
          <w:rFonts w:hint="eastAsia" w:ascii="仿宋_GB2312" w:eastAsia="仿宋_GB2312"/>
          <w:kern w:val="0"/>
          <w:sz w:val="30"/>
          <w:szCs w:val="30"/>
        </w:rPr>
        <w:t>万元与上年同期数</w:t>
      </w:r>
      <w:r>
        <w:rPr>
          <w:rFonts w:hint="eastAsia" w:ascii="仿宋_GB2312" w:hAnsi="仿宋_GB2312" w:eastAsia="仿宋_GB2312" w:cs="仿宋_GB2312"/>
          <w:kern w:val="0"/>
          <w:sz w:val="30"/>
          <w:szCs w:val="30"/>
          <w:lang w:val="en-US" w:eastAsia="zh-CN"/>
        </w:rPr>
        <w:t>1422.09</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400.46</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lang w:val="en-US" w:eastAsia="zh-CN"/>
        </w:rPr>
        <w:t>28.16%</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民族完全中学</w:t>
      </w:r>
      <w:r>
        <w:rPr>
          <w:rFonts w:hint="eastAsia" w:ascii="仿宋_GB2312" w:hAnsi="仿宋_GB2312" w:eastAsia="仿宋_GB2312" w:cs="仿宋_GB2312"/>
          <w:sz w:val="30"/>
          <w:szCs w:val="30"/>
        </w:rPr>
        <w:t>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1822.55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1822.55</w:t>
      </w:r>
      <w:r>
        <w:rPr>
          <w:rFonts w:eastAsia="仿宋_GB2312"/>
          <w:kern w:val="0"/>
          <w:sz w:val="30"/>
          <w:szCs w:val="30"/>
        </w:rPr>
        <w:t>万元，其中，基本支出</w:t>
      </w:r>
      <w:r>
        <w:rPr>
          <w:rFonts w:hint="eastAsia" w:eastAsia="仿宋_GB2312"/>
          <w:kern w:val="0"/>
          <w:sz w:val="30"/>
          <w:szCs w:val="30"/>
          <w:lang w:val="en-US" w:eastAsia="zh-CN"/>
        </w:rPr>
        <w:t>1822.55</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bookmarkStart w:id="0" w:name="_GoBack"/>
      <w:bookmarkEnd w:id="0"/>
    </w:p>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8C268B"/>
    <w:rsid w:val="04CF1775"/>
    <w:rsid w:val="05616F12"/>
    <w:rsid w:val="058D249C"/>
    <w:rsid w:val="05E01812"/>
    <w:rsid w:val="061A2813"/>
    <w:rsid w:val="06325B44"/>
    <w:rsid w:val="06E43398"/>
    <w:rsid w:val="084A3CB5"/>
    <w:rsid w:val="08656FA3"/>
    <w:rsid w:val="08775BA7"/>
    <w:rsid w:val="0AB77A2F"/>
    <w:rsid w:val="0B2B1D79"/>
    <w:rsid w:val="0B800818"/>
    <w:rsid w:val="0D870669"/>
    <w:rsid w:val="114E4D4B"/>
    <w:rsid w:val="13F52A67"/>
    <w:rsid w:val="14594CAF"/>
    <w:rsid w:val="163608B0"/>
    <w:rsid w:val="16C85A74"/>
    <w:rsid w:val="19A77E4D"/>
    <w:rsid w:val="1A0B3DDD"/>
    <w:rsid w:val="1A232536"/>
    <w:rsid w:val="1A685806"/>
    <w:rsid w:val="20447CA1"/>
    <w:rsid w:val="207165AF"/>
    <w:rsid w:val="209D2413"/>
    <w:rsid w:val="23293A4E"/>
    <w:rsid w:val="23C6578F"/>
    <w:rsid w:val="242E2599"/>
    <w:rsid w:val="25111A52"/>
    <w:rsid w:val="252035D8"/>
    <w:rsid w:val="26BF2FF3"/>
    <w:rsid w:val="26C01C7D"/>
    <w:rsid w:val="27E3128E"/>
    <w:rsid w:val="28D26D48"/>
    <w:rsid w:val="28ED429B"/>
    <w:rsid w:val="290735AA"/>
    <w:rsid w:val="29895E37"/>
    <w:rsid w:val="29F4749C"/>
    <w:rsid w:val="2B696D85"/>
    <w:rsid w:val="2D7B7E3A"/>
    <w:rsid w:val="2DA75286"/>
    <w:rsid w:val="2FD25EA1"/>
    <w:rsid w:val="30672B10"/>
    <w:rsid w:val="318901A6"/>
    <w:rsid w:val="33233469"/>
    <w:rsid w:val="333436B4"/>
    <w:rsid w:val="33E37726"/>
    <w:rsid w:val="340235A7"/>
    <w:rsid w:val="369B6FF2"/>
    <w:rsid w:val="37A862F8"/>
    <w:rsid w:val="384741CD"/>
    <w:rsid w:val="39466C4F"/>
    <w:rsid w:val="39BF048F"/>
    <w:rsid w:val="3A8C77EA"/>
    <w:rsid w:val="3C010CB3"/>
    <w:rsid w:val="3CC32D4E"/>
    <w:rsid w:val="43131F13"/>
    <w:rsid w:val="43C35C3E"/>
    <w:rsid w:val="45166B3A"/>
    <w:rsid w:val="46D61E29"/>
    <w:rsid w:val="4A940EA9"/>
    <w:rsid w:val="4B5F6D91"/>
    <w:rsid w:val="4FC334A8"/>
    <w:rsid w:val="501175B6"/>
    <w:rsid w:val="515A348C"/>
    <w:rsid w:val="564C72BA"/>
    <w:rsid w:val="5825432A"/>
    <w:rsid w:val="58310B0B"/>
    <w:rsid w:val="5AB4032D"/>
    <w:rsid w:val="5E7D384C"/>
    <w:rsid w:val="6077766D"/>
    <w:rsid w:val="62F2465F"/>
    <w:rsid w:val="635B2632"/>
    <w:rsid w:val="63C978BE"/>
    <w:rsid w:val="65756AF5"/>
    <w:rsid w:val="67D95CA6"/>
    <w:rsid w:val="67DD5DBE"/>
    <w:rsid w:val="68C77134"/>
    <w:rsid w:val="696C28AF"/>
    <w:rsid w:val="6A8C3BB7"/>
    <w:rsid w:val="6AAE5830"/>
    <w:rsid w:val="6CAC668F"/>
    <w:rsid w:val="6DA47EEE"/>
    <w:rsid w:val="6E0A3BD0"/>
    <w:rsid w:val="6FCD3E36"/>
    <w:rsid w:val="71CC02F3"/>
    <w:rsid w:val="724A4A01"/>
    <w:rsid w:val="726369D5"/>
    <w:rsid w:val="72F37DB5"/>
    <w:rsid w:val="750555D9"/>
    <w:rsid w:val="75F37398"/>
    <w:rsid w:val="7941023E"/>
    <w:rsid w:val="79910928"/>
    <w:rsid w:val="79C417BA"/>
    <w:rsid w:val="7A1A412C"/>
    <w:rsid w:val="7B1E5394"/>
    <w:rsid w:val="7B3263E0"/>
    <w:rsid w:val="7EBB41C0"/>
    <w:rsid w:val="7FD609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 w:type="paragraph" w:customStyle="1" w:styleId="15">
    <w:name w:val="普通(网站)1"/>
    <w:basedOn w:val="1"/>
    <w:qFormat/>
    <w:uiPriority w:val="0"/>
    <w:pPr>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2019-04-29T09:10:31Z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